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 w:val="32"/>
          <w:szCs w:val="32"/>
        </w:rPr>
      </w:pPr>
      <w:r>
        <w:rPr>
          <w:rFonts w:hint="eastAsia" w:ascii="黑体" w:eastAsia="黑体"/>
          <w:sz w:val="32"/>
          <w:szCs w:val="32"/>
        </w:rPr>
        <w:t>附件2：</w:t>
      </w:r>
    </w:p>
    <w:p>
      <w:pPr>
        <w:spacing w:afterLines="50" w:line="600" w:lineRule="exact"/>
        <w:jc w:val="center"/>
        <w:rPr>
          <w:rFonts w:hint="eastAsia" w:ascii="方正小标宋_GBK" w:hAnsi="华文中宋" w:eastAsia="方正小标宋_GBK"/>
          <w:b/>
          <w:sz w:val="32"/>
          <w:szCs w:val="32"/>
        </w:rPr>
      </w:pPr>
      <w:r>
        <w:rPr>
          <w:rFonts w:hint="eastAsia" w:ascii="方正小标宋_GBK" w:hAnsi="华文中宋" w:eastAsia="方正小标宋_GBK"/>
          <w:b/>
          <w:sz w:val="32"/>
          <w:szCs w:val="32"/>
        </w:rPr>
        <w:t>重庆建筑工程职业学院</w:t>
      </w:r>
      <w:r>
        <w:rPr>
          <w:rFonts w:hint="eastAsia" w:ascii="方正小标宋_GBK" w:hAnsi="华文中宋" w:eastAsia="方正小标宋_GBK"/>
          <w:b/>
          <w:sz w:val="32"/>
          <w:szCs w:val="32"/>
          <w:lang w:eastAsia="zh-CN"/>
        </w:rPr>
        <w:t>2020</w:t>
      </w:r>
      <w:r>
        <w:rPr>
          <w:rFonts w:hint="eastAsia" w:ascii="方正小标宋_GBK" w:hAnsi="华文中宋" w:eastAsia="方正小标宋_GBK"/>
          <w:b/>
          <w:sz w:val="32"/>
          <w:szCs w:val="32"/>
        </w:rPr>
        <w:t>年优秀毕业生评选推荐汇总表</w:t>
      </w:r>
    </w:p>
    <w:p>
      <w:pPr>
        <w:rPr>
          <w:rFonts w:hint="eastAsia" w:ascii="方正仿宋简体" w:eastAsia="方正仿宋简体"/>
          <w:color w:val="000000"/>
        </w:rPr>
      </w:pPr>
      <w:r>
        <w:rPr>
          <w:rFonts w:hint="eastAsia"/>
          <w:sz w:val="28"/>
          <w:szCs w:val="28"/>
        </w:rPr>
        <w:t>系：</w:t>
      </w:r>
      <w:r>
        <w:rPr>
          <w:rFonts w:hint="eastAsia"/>
          <w:sz w:val="28"/>
          <w:szCs w:val="28"/>
          <w:u w:val="single"/>
          <w:lang w:val="en-US" w:eastAsia="zh-CN"/>
        </w:rPr>
        <w:t xml:space="preserve"> 交通与市政工程系  </w:t>
      </w:r>
      <w:r>
        <w:rPr>
          <w:rFonts w:hint="eastAsia"/>
          <w:sz w:val="28"/>
          <w:szCs w:val="28"/>
        </w:rPr>
        <w:t>毕业生总人数：</w:t>
      </w:r>
      <w:r>
        <w:rPr>
          <w:rFonts w:hint="eastAsia"/>
          <w:sz w:val="28"/>
          <w:szCs w:val="28"/>
          <w:u w:val="single"/>
          <w:lang w:val="en-US" w:eastAsia="zh-CN"/>
        </w:rPr>
        <w:t xml:space="preserve"> 183 </w:t>
      </w:r>
      <w:r>
        <w:rPr>
          <w:rFonts w:hint="eastAsia"/>
          <w:sz w:val="28"/>
          <w:szCs w:val="28"/>
        </w:rPr>
        <w:t>人</w:t>
      </w:r>
      <w:r>
        <w:rPr>
          <w:rFonts w:hint="eastAsia"/>
          <w:sz w:val="28"/>
          <w:szCs w:val="28"/>
          <w:lang w:eastAsia="zh-CN"/>
        </w:rPr>
        <w:t>，</w:t>
      </w:r>
      <w:bookmarkStart w:id="0" w:name="_GoBack"/>
      <w:bookmarkEnd w:id="0"/>
      <w:r>
        <w:rPr>
          <w:rFonts w:hint="eastAsia"/>
          <w:sz w:val="28"/>
          <w:szCs w:val="28"/>
          <w:u w:val="single"/>
          <w:lang w:val="en-US" w:eastAsia="zh-CN"/>
        </w:rPr>
        <w:t xml:space="preserve">2020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4</w:t>
      </w:r>
      <w:r>
        <w:rPr>
          <w:rFonts w:hint="eastAsia"/>
          <w:sz w:val="28"/>
          <w:szCs w:val="28"/>
          <w:u w:val="single"/>
        </w:rPr>
        <w:t xml:space="preserve"> </w:t>
      </w:r>
      <w:r>
        <w:rPr>
          <w:rFonts w:hint="eastAsia"/>
          <w:sz w:val="28"/>
          <w:szCs w:val="28"/>
        </w:rPr>
        <w:t>月</w:t>
      </w:r>
      <w:r>
        <w:rPr>
          <w:rFonts w:hint="eastAsia"/>
          <w:sz w:val="28"/>
          <w:szCs w:val="28"/>
          <w:u w:val="single"/>
          <w:lang w:val="en-US" w:eastAsia="zh-CN"/>
        </w:rPr>
        <w:t>16</w:t>
      </w:r>
      <w:r>
        <w:rPr>
          <w:rFonts w:hint="eastAsia"/>
          <w:sz w:val="28"/>
          <w:szCs w:val="28"/>
          <w:u w:val="single"/>
        </w:rPr>
        <w:t xml:space="preserve"> </w:t>
      </w:r>
      <w:r>
        <w:rPr>
          <w:rFonts w:hint="eastAsia"/>
          <w:sz w:val="28"/>
          <w:szCs w:val="28"/>
        </w:rPr>
        <w:t>日</w:t>
      </w:r>
    </w:p>
    <w:tbl>
      <w:tblPr>
        <w:tblStyle w:val="5"/>
        <w:tblpPr w:leftFromText="180" w:rightFromText="180" w:vertAnchor="text" w:horzAnchor="page" w:tblpX="1327" w:tblpY="272"/>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613"/>
        <w:gridCol w:w="2265"/>
        <w:gridCol w:w="1545"/>
        <w:gridCol w:w="15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50" w:type="dxa"/>
            <w:noWrap w:val="0"/>
            <w:vAlign w:val="center"/>
          </w:tcPr>
          <w:p>
            <w:pPr>
              <w:adjustRightInd w:val="0"/>
              <w:snapToGrid w:val="0"/>
              <w:ind w:right="28"/>
              <w:jc w:val="center"/>
              <w:rPr>
                <w:rFonts w:hint="eastAsia"/>
                <w:sz w:val="24"/>
                <w:szCs w:val="24"/>
              </w:rPr>
            </w:pPr>
            <w:r>
              <w:rPr>
                <w:rFonts w:hint="eastAsia"/>
                <w:sz w:val="24"/>
                <w:szCs w:val="24"/>
              </w:rPr>
              <w:t>姓   名</w:t>
            </w:r>
          </w:p>
        </w:tc>
        <w:tc>
          <w:tcPr>
            <w:tcW w:w="1613" w:type="dxa"/>
            <w:noWrap w:val="0"/>
            <w:vAlign w:val="center"/>
          </w:tcPr>
          <w:p>
            <w:pPr>
              <w:adjustRightInd w:val="0"/>
              <w:snapToGrid w:val="0"/>
              <w:ind w:right="28"/>
              <w:jc w:val="center"/>
              <w:rPr>
                <w:rFonts w:hint="eastAsia" w:eastAsia="宋体"/>
                <w:sz w:val="24"/>
                <w:szCs w:val="24"/>
                <w:lang w:eastAsia="zh-CN"/>
              </w:rPr>
            </w:pPr>
            <w:r>
              <w:rPr>
                <w:rFonts w:hint="eastAsia"/>
                <w:sz w:val="24"/>
                <w:szCs w:val="24"/>
              </w:rPr>
              <w:t>专业</w:t>
            </w:r>
            <w:r>
              <w:rPr>
                <w:rFonts w:hint="eastAsia"/>
                <w:sz w:val="24"/>
                <w:szCs w:val="24"/>
                <w:lang w:eastAsia="zh-CN"/>
              </w:rPr>
              <w:t>班级</w:t>
            </w:r>
          </w:p>
        </w:tc>
        <w:tc>
          <w:tcPr>
            <w:tcW w:w="2265" w:type="dxa"/>
            <w:noWrap w:val="0"/>
            <w:vAlign w:val="center"/>
          </w:tcPr>
          <w:p>
            <w:pPr>
              <w:adjustRightInd w:val="0"/>
              <w:snapToGrid w:val="0"/>
              <w:ind w:right="28"/>
              <w:jc w:val="center"/>
              <w:rPr>
                <w:rFonts w:hint="eastAsia" w:eastAsia="宋体"/>
                <w:sz w:val="24"/>
                <w:szCs w:val="24"/>
                <w:lang w:eastAsia="zh-CN"/>
              </w:rPr>
            </w:pPr>
            <w:r>
              <w:rPr>
                <w:rFonts w:hint="eastAsia"/>
                <w:sz w:val="24"/>
                <w:szCs w:val="24"/>
              </w:rPr>
              <w:t>获奖学金</w:t>
            </w:r>
            <w:r>
              <w:rPr>
                <w:rFonts w:hint="eastAsia"/>
                <w:sz w:val="24"/>
                <w:szCs w:val="24"/>
                <w:lang w:eastAsia="zh-CN"/>
              </w:rPr>
              <w:t>名称</w:t>
            </w:r>
          </w:p>
        </w:tc>
        <w:tc>
          <w:tcPr>
            <w:tcW w:w="1545" w:type="dxa"/>
            <w:noWrap w:val="0"/>
            <w:vAlign w:val="center"/>
          </w:tcPr>
          <w:p>
            <w:pPr>
              <w:adjustRightInd w:val="0"/>
              <w:snapToGrid w:val="0"/>
              <w:ind w:right="28"/>
              <w:jc w:val="center"/>
              <w:rPr>
                <w:rFonts w:hint="eastAsia" w:eastAsia="宋体"/>
                <w:sz w:val="24"/>
                <w:szCs w:val="24"/>
                <w:lang w:eastAsia="zh-CN"/>
              </w:rPr>
            </w:pPr>
            <w:r>
              <w:rPr>
                <w:rFonts w:hint="eastAsia"/>
                <w:sz w:val="24"/>
                <w:szCs w:val="24"/>
                <w:lang w:eastAsia="zh-CN"/>
              </w:rPr>
              <w:t>其他奖项</w:t>
            </w:r>
          </w:p>
        </w:tc>
        <w:tc>
          <w:tcPr>
            <w:tcW w:w="1525" w:type="dxa"/>
            <w:noWrap w:val="0"/>
            <w:vAlign w:val="center"/>
          </w:tcPr>
          <w:p>
            <w:pPr>
              <w:adjustRightInd w:val="0"/>
              <w:snapToGrid w:val="0"/>
              <w:ind w:right="28"/>
              <w:jc w:val="center"/>
              <w:rPr>
                <w:rFonts w:hint="eastAsia" w:eastAsia="宋体"/>
                <w:sz w:val="24"/>
                <w:szCs w:val="24"/>
                <w:lang w:eastAsia="zh-CN"/>
              </w:rPr>
            </w:pPr>
            <w:r>
              <w:rPr>
                <w:rFonts w:hint="eastAsia"/>
                <w:sz w:val="24"/>
                <w:szCs w:val="24"/>
                <w:lang w:eastAsia="zh-CN"/>
              </w:rPr>
              <w:t>活动</w:t>
            </w:r>
            <w:r>
              <w:rPr>
                <w:rFonts w:hint="eastAsia"/>
                <w:sz w:val="24"/>
                <w:szCs w:val="24"/>
              </w:rPr>
              <w:t>竞赛</w:t>
            </w:r>
            <w:r>
              <w:rPr>
                <w:rFonts w:hint="eastAsia"/>
                <w:sz w:val="24"/>
                <w:szCs w:val="24"/>
                <w:lang w:eastAsia="zh-CN"/>
              </w:rPr>
              <w:t>奖项</w:t>
            </w:r>
          </w:p>
        </w:tc>
        <w:tc>
          <w:tcPr>
            <w:tcW w:w="1422" w:type="dxa"/>
            <w:noWrap w:val="0"/>
            <w:vAlign w:val="center"/>
          </w:tcPr>
          <w:p>
            <w:pPr>
              <w:adjustRightInd w:val="0"/>
              <w:snapToGrid w:val="0"/>
              <w:ind w:right="28"/>
              <w:jc w:val="center"/>
              <w:rPr>
                <w:rFonts w:hint="eastAsia"/>
                <w:sz w:val="24"/>
                <w:szCs w:val="24"/>
                <w:lang w:eastAsia="zh-CN"/>
              </w:rPr>
            </w:pPr>
            <w:r>
              <w:rPr>
                <w:rFonts w:hint="eastAsia"/>
                <w:sz w:val="21"/>
                <w:szCs w:val="21"/>
                <w:lang w:eastAsia="zh-CN"/>
              </w:rPr>
              <w:t>体育成绩（不及格次数）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罗兴盛</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17级</w:t>
            </w:r>
            <w:r>
              <w:rPr>
                <w:rFonts w:hint="eastAsia" w:ascii="宋体" w:hAnsi="宋体" w:eastAsia="宋体" w:cs="宋体"/>
                <w:sz w:val="21"/>
                <w:szCs w:val="21"/>
                <w:lang w:eastAsia="zh-CN"/>
              </w:rPr>
              <w:t>道桥</w:t>
            </w:r>
            <w:r>
              <w:rPr>
                <w:rFonts w:hint="eastAsia" w:ascii="宋体" w:hAnsi="宋体" w:eastAsia="宋体" w:cs="宋体"/>
                <w:sz w:val="21"/>
                <w:szCs w:val="21"/>
                <w:lang w:val="en-US" w:eastAsia="zh-CN"/>
              </w:rPr>
              <w:t>4班</w:t>
            </w:r>
          </w:p>
        </w:tc>
        <w:tc>
          <w:tcPr>
            <w:tcW w:w="226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Style w:val="8"/>
                <w:rFonts w:hint="eastAsia" w:ascii="宋体" w:hAnsi="宋体" w:eastAsia="宋体" w:cs="宋体"/>
                <w:b w:val="0"/>
                <w:bCs w:val="0"/>
                <w:i w:val="0"/>
                <w:caps w:val="0"/>
                <w:color w:val="auto"/>
                <w:spacing w:val="0"/>
                <w:sz w:val="21"/>
                <w:szCs w:val="21"/>
                <w:shd w:val="clear" w:color="auto" w:fill="FFFFFF"/>
              </w:rPr>
              <w:t>二等院级奖学金</w:t>
            </w:r>
            <w:r>
              <w:rPr>
                <w:rStyle w:val="8"/>
                <w:rFonts w:hint="eastAsia" w:ascii="宋体" w:hAnsi="宋体" w:eastAsia="宋体" w:cs="宋体"/>
                <w:b w:val="0"/>
                <w:bCs w:val="0"/>
                <w:i w:val="0"/>
                <w:caps w:val="0"/>
                <w:color w:val="auto"/>
                <w:spacing w:val="0"/>
                <w:sz w:val="21"/>
                <w:szCs w:val="21"/>
                <w:shd w:val="clear" w:color="auto" w:fill="FFFFFF"/>
                <w:lang w:eastAsia="zh-CN"/>
              </w:rPr>
              <w:t>、</w:t>
            </w:r>
            <w:r>
              <w:rPr>
                <w:rStyle w:val="8"/>
                <w:rFonts w:hint="eastAsia" w:ascii="宋体" w:hAnsi="宋体" w:eastAsia="宋体" w:cs="宋体"/>
                <w:b w:val="0"/>
                <w:bCs w:val="0"/>
                <w:i w:val="0"/>
                <w:caps w:val="0"/>
                <w:color w:val="auto"/>
                <w:spacing w:val="0"/>
                <w:sz w:val="21"/>
                <w:szCs w:val="21"/>
                <w:shd w:val="clear" w:color="auto" w:fill="FFFFFF"/>
              </w:rPr>
              <w:t>一等院级奖学金</w:t>
            </w: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Style w:val="8"/>
                <w:rFonts w:hint="eastAsia" w:ascii="宋体" w:hAnsi="宋体" w:eastAsia="宋体" w:cs="宋体"/>
                <w:b w:val="0"/>
                <w:bCs w:val="0"/>
                <w:i w:val="0"/>
                <w:caps w:val="0"/>
                <w:color w:val="auto"/>
                <w:spacing w:val="0"/>
                <w:sz w:val="21"/>
                <w:szCs w:val="21"/>
                <w:shd w:val="clear" w:color="auto" w:fill="FFFFFF"/>
                <w:lang w:eastAsia="zh-CN"/>
              </w:rPr>
              <w:t>两次</w:t>
            </w:r>
            <w:r>
              <w:rPr>
                <w:rStyle w:val="8"/>
                <w:rFonts w:hint="eastAsia" w:ascii="宋体" w:hAnsi="宋体" w:eastAsia="宋体" w:cs="宋体"/>
                <w:b w:val="0"/>
                <w:bCs w:val="0"/>
                <w:i w:val="0"/>
                <w:caps w:val="0"/>
                <w:color w:val="auto"/>
                <w:spacing w:val="0"/>
                <w:sz w:val="21"/>
                <w:szCs w:val="21"/>
                <w:shd w:val="clear" w:color="auto" w:fill="FFFFFF"/>
              </w:rPr>
              <w:t>学院</w:t>
            </w:r>
            <w:r>
              <w:rPr>
                <w:rStyle w:val="8"/>
                <w:rFonts w:hint="eastAsia" w:ascii="宋体" w:hAnsi="宋体" w:eastAsia="宋体" w:cs="宋体"/>
                <w:b w:val="0"/>
                <w:bCs w:val="0"/>
                <w:i w:val="0"/>
                <w:caps w:val="0"/>
                <w:color w:val="auto"/>
                <w:spacing w:val="0"/>
                <w:sz w:val="21"/>
                <w:szCs w:val="21"/>
                <w:shd w:val="clear" w:color="auto" w:fill="FFFFFF"/>
                <w:lang w:eastAsia="zh-CN"/>
              </w:rPr>
              <w:t>“</w:t>
            </w:r>
            <w:r>
              <w:rPr>
                <w:rStyle w:val="8"/>
                <w:rFonts w:hint="eastAsia" w:ascii="宋体" w:hAnsi="宋体" w:eastAsia="宋体" w:cs="宋体"/>
                <w:b w:val="0"/>
                <w:bCs w:val="0"/>
                <w:i w:val="0"/>
                <w:caps w:val="0"/>
                <w:color w:val="auto"/>
                <w:spacing w:val="0"/>
                <w:sz w:val="21"/>
                <w:szCs w:val="21"/>
                <w:shd w:val="clear" w:color="auto" w:fill="FFFFFF"/>
              </w:rPr>
              <w:t>三好学生</w:t>
            </w:r>
            <w:r>
              <w:rPr>
                <w:rStyle w:val="8"/>
                <w:rFonts w:hint="eastAsia" w:ascii="宋体" w:hAnsi="宋体" w:eastAsia="宋体" w:cs="宋体"/>
                <w:b w:val="0"/>
                <w:bCs w:val="0"/>
                <w:i w:val="0"/>
                <w:caps w:val="0"/>
                <w:color w:val="auto"/>
                <w:spacing w:val="0"/>
                <w:sz w:val="21"/>
                <w:szCs w:val="21"/>
                <w:shd w:val="clear" w:color="auto" w:fill="FFFFFF"/>
                <w:lang w:eastAsia="zh-CN"/>
              </w:rPr>
              <w:t>”</w:t>
            </w:r>
          </w:p>
        </w:tc>
        <w:tc>
          <w:tcPr>
            <w:tcW w:w="152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val="en-US" w:eastAsia="zh-CN"/>
              </w:rPr>
            </w:pPr>
            <w:r>
              <w:rPr>
                <w:rStyle w:val="8"/>
                <w:rFonts w:hint="eastAsia" w:ascii="宋体" w:hAnsi="宋体" w:eastAsia="宋体" w:cs="宋体"/>
                <w:b w:val="0"/>
                <w:bCs w:val="0"/>
                <w:i w:val="0"/>
                <w:caps w:val="0"/>
                <w:color w:val="auto"/>
                <w:spacing w:val="0"/>
                <w:sz w:val="21"/>
                <w:szCs w:val="21"/>
                <w:shd w:val="clear" w:color="auto" w:fill="FFFFFF"/>
                <w:lang w:eastAsia="zh-CN"/>
              </w:rPr>
              <w:t>创新创业大赛院级二等奖</w:t>
            </w:r>
            <w:r>
              <w:rPr>
                <w:rStyle w:val="8"/>
                <w:rFonts w:hint="eastAsia" w:ascii="宋体" w:hAnsi="宋体" w:cs="宋体"/>
                <w:b w:val="0"/>
                <w:bCs w:val="0"/>
                <w:i w:val="0"/>
                <w:caps w:val="0"/>
                <w:color w:val="auto"/>
                <w:spacing w:val="0"/>
                <w:sz w:val="21"/>
                <w:szCs w:val="21"/>
                <w:shd w:val="clear" w:color="auto" w:fill="FFFFFF"/>
                <w:lang w:eastAsia="zh-CN"/>
              </w:rPr>
              <w:t>、</w:t>
            </w:r>
            <w:r>
              <w:rPr>
                <w:rFonts w:hint="eastAsia" w:ascii="宋体" w:hAnsi="宋体" w:eastAsia="宋体" w:cs="宋体"/>
                <w:sz w:val="21"/>
                <w:szCs w:val="21"/>
              </w:rPr>
              <w:t>桥模比赛、测量个人、团队比赛三等奖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易诚金</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17级道桥2班</w:t>
            </w:r>
          </w:p>
        </w:tc>
        <w:tc>
          <w:tcPr>
            <w:tcW w:w="226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国家奖学金</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院级一等奖学金</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学院“三好学生”</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、院“科技创新先进个人”</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p>
        </w:tc>
        <w:tc>
          <w:tcPr>
            <w:tcW w:w="152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重庆市“渝创渝新”创业大赛一等奖、重庆市“互联网+创新创业大赛”银奖</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、学院第五届辩论赛亚军</w:t>
            </w:r>
            <w:r>
              <w:rPr>
                <w:rFonts w:hint="eastAsia" w:ascii="宋体" w:hAnsi="宋体" w:cs="宋体"/>
                <w:sz w:val="21"/>
                <w:szCs w:val="21"/>
                <w:lang w:eastAsia="zh-CN"/>
              </w:rPr>
              <w:t>、</w:t>
            </w:r>
            <w:r>
              <w:rPr>
                <w:rFonts w:hint="eastAsia" w:ascii="宋体" w:hAnsi="宋体" w:eastAsia="宋体" w:cs="宋体"/>
                <w:sz w:val="21"/>
                <w:szCs w:val="21"/>
              </w:rPr>
              <w:t>重庆市禁毒辩论赛冠军</w:t>
            </w:r>
            <w:r>
              <w:rPr>
                <w:rFonts w:hint="eastAsia" w:ascii="宋体" w:hAnsi="宋体" w:cs="宋体"/>
                <w:sz w:val="21"/>
                <w:szCs w:val="21"/>
                <w:lang w:eastAsia="zh-CN"/>
              </w:rPr>
              <w:t>、</w:t>
            </w:r>
            <w:r>
              <w:rPr>
                <w:rFonts w:hint="eastAsia" w:ascii="宋体" w:hAnsi="宋体" w:eastAsia="宋体" w:cs="宋体"/>
                <w:sz w:val="21"/>
                <w:szCs w:val="21"/>
              </w:rPr>
              <w:t>重庆市第二届结构设计大赛一等奖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陈正典</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17级</w:t>
            </w:r>
            <w:r>
              <w:rPr>
                <w:rFonts w:hint="eastAsia" w:ascii="宋体" w:hAnsi="宋体" w:eastAsia="宋体" w:cs="宋体"/>
                <w:sz w:val="21"/>
                <w:szCs w:val="21"/>
                <w:lang w:eastAsia="zh-CN"/>
              </w:rPr>
              <w:t>道桥</w:t>
            </w:r>
            <w:r>
              <w:rPr>
                <w:rFonts w:hint="eastAsia" w:ascii="宋体" w:hAnsi="宋体" w:eastAsia="宋体" w:cs="宋体"/>
                <w:sz w:val="21"/>
                <w:szCs w:val="21"/>
                <w:lang w:val="en-US" w:eastAsia="zh-CN"/>
              </w:rPr>
              <w:t>4班</w:t>
            </w:r>
          </w:p>
        </w:tc>
        <w:tc>
          <w:tcPr>
            <w:tcW w:w="226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国家励志奖学金</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中科奖学金</w:t>
            </w: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学院“优秀团员”</w:t>
            </w:r>
          </w:p>
        </w:tc>
        <w:tc>
          <w:tcPr>
            <w:tcW w:w="152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学院桥梁结构模型承重组二等奖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杨文静</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17级市政1班</w:t>
            </w:r>
          </w:p>
        </w:tc>
        <w:tc>
          <w:tcPr>
            <w:tcW w:w="226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国家奖学金</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院级特等奖学金</w:t>
            </w: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学院“优秀团员”、</w:t>
            </w:r>
            <w:r>
              <w:rPr>
                <w:rFonts w:hint="eastAsia" w:ascii="宋体" w:hAnsi="宋体" w:eastAsia="宋体" w:cs="宋体"/>
                <w:sz w:val="21"/>
                <w:szCs w:val="21"/>
              </w:rPr>
              <w:t>科技创新先进个人</w:t>
            </w:r>
          </w:p>
        </w:tc>
        <w:tc>
          <w:tcPr>
            <w:tcW w:w="152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第五届全国高校BIM建模大赛二等奖、“渝创渝新”创业大赛市级一等奖</w:t>
            </w:r>
            <w:r>
              <w:rPr>
                <w:rFonts w:hint="eastAsia" w:ascii="宋体" w:hAnsi="宋体" w:cs="宋体"/>
                <w:kern w:val="2"/>
                <w:sz w:val="21"/>
                <w:szCs w:val="21"/>
                <w:lang w:val="en-US" w:eastAsia="zh-CN" w:bidi="ar-SA"/>
              </w:rPr>
              <w:t>、</w:t>
            </w:r>
            <w:r>
              <w:rPr>
                <w:rFonts w:hint="eastAsia" w:ascii="宋体" w:hAnsi="宋体" w:eastAsia="宋体" w:cs="宋体"/>
                <w:kern w:val="2"/>
                <w:sz w:val="21"/>
                <w:szCs w:val="22"/>
                <w:lang w:val="en-US" w:eastAsia="zh-CN" w:bidi="ar-SA"/>
              </w:rPr>
              <w:t>重庆市大学生禁毒辩论赛（高职高专组），荣获“冠军”“互联网+”大学生创新创业大赛重庆选拔赛中，荣获“银奖”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刘兴</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17</w:t>
            </w:r>
            <w:r>
              <w:rPr>
                <w:rFonts w:hint="eastAsia" w:ascii="宋体" w:hAnsi="宋体" w:eastAsia="宋体" w:cs="宋体"/>
                <w:sz w:val="21"/>
                <w:szCs w:val="21"/>
                <w:lang w:val="en-US" w:eastAsia="zh-CN"/>
              </w:rPr>
              <w:t>级</w:t>
            </w:r>
            <w:r>
              <w:rPr>
                <w:rFonts w:hint="eastAsia" w:ascii="宋体" w:hAnsi="宋体" w:eastAsia="宋体" w:cs="宋体"/>
                <w:sz w:val="21"/>
                <w:szCs w:val="21"/>
              </w:rPr>
              <w:t>道</w:t>
            </w:r>
            <w:r>
              <w:rPr>
                <w:rFonts w:hint="eastAsia" w:ascii="宋体" w:hAnsi="宋体" w:eastAsia="宋体" w:cs="宋体"/>
                <w:sz w:val="21"/>
                <w:szCs w:val="21"/>
                <w:lang w:eastAsia="zh-CN"/>
              </w:rPr>
              <w:t>桥</w:t>
            </w:r>
            <w:r>
              <w:rPr>
                <w:rFonts w:hint="eastAsia" w:ascii="宋体" w:hAnsi="宋体" w:eastAsia="宋体" w:cs="宋体"/>
                <w:sz w:val="21"/>
                <w:szCs w:val="21"/>
                <w:lang w:val="en-US" w:eastAsia="zh-CN"/>
              </w:rPr>
              <w:t>3</w:t>
            </w:r>
            <w:r>
              <w:rPr>
                <w:rFonts w:hint="eastAsia" w:ascii="宋体" w:hAnsi="宋体" w:eastAsia="宋体" w:cs="宋体"/>
                <w:sz w:val="21"/>
                <w:szCs w:val="21"/>
              </w:rPr>
              <w:t>班</w:t>
            </w:r>
          </w:p>
        </w:tc>
        <w:tc>
          <w:tcPr>
            <w:tcW w:w="226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两次</w:t>
            </w:r>
            <w:r>
              <w:rPr>
                <w:rFonts w:hint="eastAsia" w:ascii="宋体" w:hAnsi="宋体" w:eastAsia="宋体" w:cs="宋体"/>
                <w:sz w:val="21"/>
                <w:szCs w:val="21"/>
              </w:rPr>
              <w:t>院级二等奖学金</w:t>
            </w: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学院“优秀学生干部”、</w:t>
            </w:r>
            <w:r>
              <w:rPr>
                <w:rFonts w:hint="eastAsia" w:ascii="宋体" w:hAnsi="宋体" w:eastAsia="宋体" w:cs="宋体"/>
                <w:sz w:val="21"/>
                <w:szCs w:val="21"/>
                <w:lang w:val="en-US" w:eastAsia="zh-CN"/>
              </w:rPr>
              <w:t>学院“三好学生”</w:t>
            </w:r>
          </w:p>
        </w:tc>
        <w:tc>
          <w:tcPr>
            <w:tcW w:w="152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right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学院桥梁结构模型外观组三等奖、学院第九届“南方测绘杯”测量技能大赛团体一等奖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刘鑫杰</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17级道桥3班</w:t>
            </w:r>
          </w:p>
        </w:tc>
        <w:tc>
          <w:tcPr>
            <w:tcW w:w="226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国家励志奖学金 </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国家奖学金</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bidi="ar"/>
              </w:rPr>
              <w:t>院级二等奖学金</w:t>
            </w: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学院“三好学生”、</w:t>
            </w:r>
            <w:r>
              <w:rPr>
                <w:rFonts w:hint="eastAsia" w:ascii="宋体" w:hAnsi="宋体" w:eastAsia="宋体" w:cs="宋体"/>
                <w:kern w:val="0"/>
                <w:sz w:val="21"/>
                <w:szCs w:val="21"/>
                <w:lang w:val="en-US" w:eastAsia="zh-CN" w:bidi="ar"/>
              </w:rPr>
              <w:t>科技创新先进个人</w:t>
            </w:r>
          </w:p>
        </w:tc>
        <w:tc>
          <w:tcPr>
            <w:tcW w:w="152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第二届“升拓杯”全国交通运输职业院校学生无损检测技能大赛中，荣获混凝土结构缺陷测定二等奖</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学院第五届桥梁结构模型大赛模型外观组二等奖</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钢筋间距及保护层厚度测定三等奖；理论竞赛二等奖</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学院第六届桥梁结构模型大赛模型外观组三等级、结构承重组三等级</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马飞林</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17级道桥4班</w:t>
            </w:r>
          </w:p>
        </w:tc>
        <w:tc>
          <w:tcPr>
            <w:tcW w:w="2265"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中科奖学金三次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院级特等奖学金奖</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学院“三好学生”</w:t>
            </w:r>
          </w:p>
        </w:tc>
        <w:tc>
          <w:tcPr>
            <w:tcW w:w="1525"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baseline"/>
              <w:rPr>
                <w:rFonts w:hint="eastAsia" w:ascii="宋体" w:hAnsi="宋体" w:eastAsia="宋体" w:cs="宋体"/>
                <w:sz w:val="21"/>
                <w:szCs w:val="21"/>
              </w:rPr>
            </w:pPr>
            <w:r>
              <w:rPr>
                <w:rFonts w:hint="eastAsia" w:ascii="宋体" w:hAnsi="宋体" w:eastAsia="宋体" w:cs="宋体"/>
                <w:kern w:val="0"/>
                <w:sz w:val="21"/>
                <w:szCs w:val="21"/>
                <w:lang w:val="en-US" w:eastAsia="zh-CN" w:bidi="ar"/>
              </w:rPr>
              <w:t>全国大学生数学建模重庆赛区二等奖</w:t>
            </w:r>
            <w:r>
              <w:rPr>
                <w:rFonts w:hint="eastAsia" w:ascii="宋体" w:hAnsi="宋体" w:cs="宋体"/>
                <w:kern w:val="0"/>
                <w:sz w:val="21"/>
                <w:szCs w:val="21"/>
                <w:lang w:val="en-US" w:eastAsia="zh-CN" w:bidi="ar"/>
              </w:rPr>
              <w:t>、</w:t>
            </w:r>
            <w:r>
              <w:rPr>
                <w:rFonts w:hint="eastAsia" w:ascii="宋体" w:hAnsi="宋体" w:eastAsia="宋体" w:cs="宋体"/>
                <w:color w:val="000000"/>
                <w:kern w:val="0"/>
                <w:sz w:val="21"/>
                <w:szCs w:val="21"/>
                <w:lang w:val="en-US" w:eastAsia="zh-CN" w:bidi="ar"/>
              </w:rPr>
              <w:t>学院数学建模比赛二等奖</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2019年全国大学生数学建模重庆赛区一等奖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钟陈</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17级道桥4班</w:t>
            </w:r>
          </w:p>
        </w:tc>
        <w:tc>
          <w:tcPr>
            <w:tcW w:w="2265" w:type="dxa"/>
            <w:noWrap w:val="0"/>
            <w:vAlign w:val="center"/>
          </w:tcPr>
          <w:p>
            <w:pPr>
              <w:keepNext w:val="0"/>
              <w:keepLines w:val="0"/>
              <w:pageBreakBefore w:val="0"/>
              <w:kinsoku/>
              <w:wordWrap/>
              <w:overflowPunct/>
              <w:topLinePunct w:val="0"/>
              <w:autoSpaceDE/>
              <w:autoSpaceDN/>
              <w:bidi w:val="0"/>
              <w:spacing w:line="0" w:lineRule="atLeas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院级二等奖学金</w:t>
            </w:r>
          </w:p>
          <w:p>
            <w:pPr>
              <w:keepNext w:val="0"/>
              <w:keepLines w:val="0"/>
              <w:pageBreakBefore w:val="0"/>
              <w:kinsoku/>
              <w:wordWrap/>
              <w:overflowPunct/>
              <w:topLinePunct w:val="0"/>
              <w:autoSpaceDE/>
              <w:autoSpaceDN/>
              <w:bidi w:val="0"/>
              <w:spacing w:line="0" w:lineRule="atLeas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中科奖学金</w:t>
            </w: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学院“优秀学生干部”、学院科技创新先进个人</w:t>
            </w:r>
          </w:p>
        </w:tc>
        <w:tc>
          <w:tcPr>
            <w:tcW w:w="152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“巴渝工匠杯” 重庆市第十一届高等职业院校学生技能竞赛“工程测量”赛项二等奖、重庆市创新创业大赛二等奖</w:t>
            </w:r>
            <w:r>
              <w:rPr>
                <w:rFonts w:hint="eastAsia" w:ascii="宋体" w:hAnsi="宋体" w:cs="宋体"/>
                <w:sz w:val="21"/>
                <w:szCs w:val="21"/>
                <w:lang w:val="en-US" w:eastAsia="zh-CN"/>
              </w:rPr>
              <w:t>、</w:t>
            </w:r>
            <w:r>
              <w:rPr>
                <w:rFonts w:hint="eastAsia" w:asciiTheme="minorEastAsia" w:hAnsiTheme="minorEastAsia" w:eastAsiaTheme="minorEastAsia" w:cstheme="minorEastAsia"/>
                <w:sz w:val="21"/>
                <w:szCs w:val="21"/>
                <w:lang w:val="en-US" w:eastAsia="zh-CN"/>
              </w:rPr>
              <w:t>“思芮特杯”重庆市第三届高校大学生测量技能大赛获四等水准测量技能竞赛团体一等奖、综合赛项团体三等奖、、重庆市第四届高校大学生“南方测绘杯”测量技能竞赛综合团体一等奖、二级导线三等水准赛项二等奖、学院桥梁模型、桥梁美观大赛三等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rPr>
              <w:t>张裕</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17级道桥3班</w:t>
            </w:r>
          </w:p>
        </w:tc>
        <w:tc>
          <w:tcPr>
            <w:tcW w:w="2265" w:type="dxa"/>
            <w:noWrap w:val="0"/>
            <w:vAlign w:val="center"/>
          </w:tcPr>
          <w:p>
            <w:pPr>
              <w:keepNext w:val="0"/>
              <w:keepLines w:val="0"/>
              <w:pageBreakBefore w:val="0"/>
              <w:widowControl/>
              <w:numPr>
                <w:ilvl w:val="0"/>
                <w:numId w:val="0"/>
              </w:numPr>
              <w:kinsoku/>
              <w:wordWrap/>
              <w:overflowPunct/>
              <w:topLinePunct w:val="0"/>
              <w:autoSpaceDE/>
              <w:autoSpaceDN/>
              <w:bidi w:val="0"/>
              <w:spacing w:line="0" w:lineRule="atLeast"/>
              <w:ind w:left="0" w:firstLine="0"/>
              <w:jc w:val="left"/>
              <w:textAlignment w:val="auto"/>
              <w:rPr>
                <w:rFonts w:hint="eastAsia" w:ascii="宋体" w:hAnsi="宋体" w:eastAsia="宋体" w:cs="宋体"/>
                <w:sz w:val="21"/>
                <w:szCs w:val="21"/>
              </w:rPr>
            </w:pPr>
            <w:r>
              <w:rPr>
                <w:rFonts w:hint="eastAsia" w:ascii="宋体" w:hAnsi="宋体" w:eastAsia="宋体" w:cs="宋体"/>
                <w:sz w:val="21"/>
                <w:szCs w:val="21"/>
              </w:rPr>
              <w:t>国家励志奖学金</w:t>
            </w:r>
          </w:p>
          <w:p>
            <w:pPr>
              <w:keepNext w:val="0"/>
              <w:keepLines w:val="0"/>
              <w:pageBreakBefore w:val="0"/>
              <w:widowControl/>
              <w:numPr>
                <w:ilvl w:val="0"/>
                <w:numId w:val="0"/>
              </w:numPr>
              <w:kinsoku/>
              <w:wordWrap/>
              <w:overflowPunct/>
              <w:topLinePunct w:val="0"/>
              <w:autoSpaceDE/>
              <w:autoSpaceDN/>
              <w:bidi w:val="0"/>
              <w:spacing w:line="0" w:lineRule="atLeast"/>
              <w:ind w:left="0" w:firstLine="0"/>
              <w:jc w:val="left"/>
              <w:textAlignment w:val="auto"/>
              <w:rPr>
                <w:rFonts w:hint="eastAsia" w:ascii="宋体" w:hAnsi="宋体" w:eastAsia="宋体" w:cs="宋体"/>
                <w:sz w:val="21"/>
                <w:szCs w:val="21"/>
              </w:rPr>
            </w:pPr>
            <w:r>
              <w:rPr>
                <w:rFonts w:hint="eastAsia" w:ascii="宋体" w:hAnsi="宋体" w:eastAsia="宋体" w:cs="宋体"/>
                <w:sz w:val="21"/>
                <w:szCs w:val="21"/>
              </w:rPr>
              <w:t>院级二等奖学金</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学院“三好学生”</w:t>
            </w:r>
          </w:p>
        </w:tc>
        <w:tc>
          <w:tcPr>
            <w:tcW w:w="152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学院桥梁结构模型承重组一等奖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rPr>
              <w:t>蔡万江</w:t>
            </w:r>
          </w:p>
        </w:tc>
        <w:tc>
          <w:tcPr>
            <w:tcW w:w="1613"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17级道桥4班</w:t>
            </w:r>
          </w:p>
        </w:tc>
        <w:tc>
          <w:tcPr>
            <w:tcW w:w="226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rPr>
              <w:t>国家励志奖学金</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rPr>
              <w:t>院级</w:t>
            </w:r>
            <w:r>
              <w:rPr>
                <w:rFonts w:hint="eastAsia" w:ascii="宋体" w:hAnsi="宋体" w:eastAsia="宋体" w:cs="宋体"/>
                <w:sz w:val="21"/>
                <w:szCs w:val="21"/>
                <w:lang w:eastAsia="zh-CN"/>
              </w:rPr>
              <w:t>二等</w:t>
            </w:r>
            <w:r>
              <w:rPr>
                <w:rFonts w:hint="eastAsia" w:ascii="宋体" w:hAnsi="宋体" w:eastAsia="宋体" w:cs="宋体"/>
                <w:sz w:val="21"/>
                <w:szCs w:val="21"/>
              </w:rPr>
              <w:t>奖学金</w:t>
            </w:r>
          </w:p>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中科奖学金</w:t>
            </w:r>
          </w:p>
        </w:tc>
        <w:tc>
          <w:tcPr>
            <w:tcW w:w="1545"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学院“三好学生”</w:t>
            </w:r>
          </w:p>
        </w:tc>
        <w:tc>
          <w:tcPr>
            <w:tcW w:w="152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学院</w:t>
            </w:r>
            <w:r>
              <w:rPr>
                <w:rFonts w:hint="eastAsia" w:ascii="宋体" w:hAnsi="宋体" w:eastAsia="宋体" w:cs="宋体"/>
                <w:sz w:val="21"/>
                <w:szCs w:val="21"/>
              </w:rPr>
              <w:t>第五届桥梁结构模型大赛结构承重组二等奖</w:t>
            </w:r>
            <w:r>
              <w:rPr>
                <w:rFonts w:hint="eastAsia" w:ascii="宋体" w:hAnsi="宋体" w:cs="宋体"/>
                <w:sz w:val="21"/>
                <w:szCs w:val="21"/>
                <w:lang w:eastAsia="zh-CN"/>
              </w:rPr>
              <w:t>、</w:t>
            </w:r>
            <w:r>
              <w:rPr>
                <w:rFonts w:hint="eastAsia" w:ascii="宋体" w:hAnsi="宋体"/>
                <w:sz w:val="21"/>
                <w:szCs w:val="21"/>
              </w:rPr>
              <w:t>“全国大学生数学建模竞赛（2018）”重庆赛区二等奖</w:t>
            </w:r>
          </w:p>
        </w:tc>
        <w:tc>
          <w:tcPr>
            <w:tcW w:w="1422" w:type="dxa"/>
            <w:noWrap w:val="0"/>
            <w:vAlign w:val="center"/>
          </w:tcPr>
          <w:p>
            <w:pPr>
              <w:keepNext w:val="0"/>
              <w:keepLines w:val="0"/>
              <w:pageBreakBefore w:val="0"/>
              <w:kinsoku/>
              <w:wordWrap/>
              <w:overflowPunct/>
              <w:topLinePunct w:val="0"/>
              <w:autoSpaceDE/>
              <w:autoSpaceDN/>
              <w:bidi w:val="0"/>
              <w:adjustRightInd w:val="0"/>
              <w:snapToGrid w:val="0"/>
              <w:spacing w:line="0" w:lineRule="atLeast"/>
              <w:ind w:right="28"/>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50" w:type="dxa"/>
            <w:noWrap w:val="0"/>
            <w:vAlign w:val="center"/>
          </w:tcPr>
          <w:p>
            <w:pPr>
              <w:adjustRightInd w:val="0"/>
              <w:snapToGrid w:val="0"/>
              <w:spacing w:line="600" w:lineRule="exact"/>
              <w:ind w:right="28"/>
              <w:jc w:val="center"/>
              <w:rPr>
                <w:rFonts w:hint="eastAsia"/>
              </w:rPr>
            </w:pPr>
          </w:p>
        </w:tc>
        <w:tc>
          <w:tcPr>
            <w:tcW w:w="1613" w:type="dxa"/>
            <w:noWrap w:val="0"/>
            <w:vAlign w:val="center"/>
          </w:tcPr>
          <w:p>
            <w:pPr>
              <w:adjustRightInd w:val="0"/>
              <w:snapToGrid w:val="0"/>
              <w:spacing w:line="600" w:lineRule="exact"/>
              <w:ind w:right="28"/>
              <w:jc w:val="center"/>
              <w:rPr>
                <w:rFonts w:hint="eastAsia"/>
              </w:rPr>
            </w:pPr>
          </w:p>
        </w:tc>
        <w:tc>
          <w:tcPr>
            <w:tcW w:w="2265" w:type="dxa"/>
            <w:noWrap w:val="0"/>
            <w:vAlign w:val="center"/>
          </w:tcPr>
          <w:p>
            <w:pPr>
              <w:adjustRightInd w:val="0"/>
              <w:snapToGrid w:val="0"/>
              <w:spacing w:line="600" w:lineRule="exact"/>
              <w:ind w:right="28"/>
              <w:jc w:val="left"/>
              <w:rPr>
                <w:rFonts w:hint="eastAsia"/>
              </w:rPr>
            </w:pPr>
          </w:p>
        </w:tc>
        <w:tc>
          <w:tcPr>
            <w:tcW w:w="1545" w:type="dxa"/>
            <w:noWrap w:val="0"/>
            <w:vAlign w:val="center"/>
          </w:tcPr>
          <w:p>
            <w:pPr>
              <w:adjustRightInd w:val="0"/>
              <w:snapToGrid w:val="0"/>
              <w:spacing w:line="600" w:lineRule="exact"/>
              <w:ind w:right="28"/>
              <w:jc w:val="left"/>
              <w:rPr>
                <w:rFonts w:hint="eastAsia"/>
              </w:rPr>
            </w:pPr>
          </w:p>
        </w:tc>
        <w:tc>
          <w:tcPr>
            <w:tcW w:w="1525" w:type="dxa"/>
            <w:noWrap w:val="0"/>
            <w:vAlign w:val="center"/>
          </w:tcPr>
          <w:p>
            <w:pPr>
              <w:adjustRightInd w:val="0"/>
              <w:snapToGrid w:val="0"/>
              <w:spacing w:line="600" w:lineRule="exact"/>
              <w:ind w:right="28"/>
              <w:jc w:val="left"/>
              <w:rPr>
                <w:rFonts w:hint="eastAsia"/>
              </w:rPr>
            </w:pPr>
          </w:p>
        </w:tc>
        <w:tc>
          <w:tcPr>
            <w:tcW w:w="1422" w:type="dxa"/>
            <w:noWrap w:val="0"/>
            <w:vAlign w:val="center"/>
          </w:tcPr>
          <w:p>
            <w:pPr>
              <w:adjustRightInd w:val="0"/>
              <w:snapToGrid w:val="0"/>
              <w:spacing w:line="600" w:lineRule="exact"/>
              <w:ind w:right="2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adjustRightInd w:val="0"/>
              <w:snapToGrid w:val="0"/>
              <w:spacing w:line="600" w:lineRule="exact"/>
              <w:ind w:right="28"/>
              <w:jc w:val="center"/>
              <w:rPr>
                <w:rFonts w:hint="eastAsia"/>
              </w:rPr>
            </w:pPr>
          </w:p>
        </w:tc>
        <w:tc>
          <w:tcPr>
            <w:tcW w:w="1613" w:type="dxa"/>
            <w:noWrap w:val="0"/>
            <w:vAlign w:val="center"/>
          </w:tcPr>
          <w:p>
            <w:pPr>
              <w:adjustRightInd w:val="0"/>
              <w:snapToGrid w:val="0"/>
              <w:spacing w:line="600" w:lineRule="exact"/>
              <w:ind w:right="28"/>
              <w:jc w:val="center"/>
              <w:rPr>
                <w:rFonts w:hint="eastAsia"/>
              </w:rPr>
            </w:pPr>
          </w:p>
        </w:tc>
        <w:tc>
          <w:tcPr>
            <w:tcW w:w="2265" w:type="dxa"/>
            <w:noWrap w:val="0"/>
            <w:vAlign w:val="center"/>
          </w:tcPr>
          <w:p>
            <w:pPr>
              <w:adjustRightInd w:val="0"/>
              <w:snapToGrid w:val="0"/>
              <w:spacing w:line="600" w:lineRule="exact"/>
              <w:ind w:right="28"/>
              <w:jc w:val="left"/>
              <w:rPr>
                <w:rFonts w:hint="eastAsia"/>
              </w:rPr>
            </w:pPr>
          </w:p>
        </w:tc>
        <w:tc>
          <w:tcPr>
            <w:tcW w:w="1545" w:type="dxa"/>
            <w:noWrap w:val="0"/>
            <w:vAlign w:val="center"/>
          </w:tcPr>
          <w:p>
            <w:pPr>
              <w:adjustRightInd w:val="0"/>
              <w:snapToGrid w:val="0"/>
              <w:spacing w:line="600" w:lineRule="exact"/>
              <w:ind w:right="28"/>
              <w:jc w:val="left"/>
              <w:rPr>
                <w:rFonts w:hint="eastAsia"/>
              </w:rPr>
            </w:pPr>
          </w:p>
        </w:tc>
        <w:tc>
          <w:tcPr>
            <w:tcW w:w="1525" w:type="dxa"/>
            <w:noWrap w:val="0"/>
            <w:vAlign w:val="center"/>
          </w:tcPr>
          <w:p>
            <w:pPr>
              <w:adjustRightInd w:val="0"/>
              <w:snapToGrid w:val="0"/>
              <w:spacing w:line="600" w:lineRule="exact"/>
              <w:ind w:right="28"/>
              <w:jc w:val="left"/>
              <w:rPr>
                <w:rFonts w:hint="eastAsia"/>
              </w:rPr>
            </w:pPr>
          </w:p>
        </w:tc>
        <w:tc>
          <w:tcPr>
            <w:tcW w:w="1422" w:type="dxa"/>
            <w:noWrap w:val="0"/>
            <w:vAlign w:val="center"/>
          </w:tcPr>
          <w:p>
            <w:pPr>
              <w:adjustRightInd w:val="0"/>
              <w:snapToGrid w:val="0"/>
              <w:spacing w:line="600" w:lineRule="exact"/>
              <w:ind w:right="2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adjustRightInd w:val="0"/>
              <w:snapToGrid w:val="0"/>
              <w:spacing w:line="600" w:lineRule="exact"/>
              <w:ind w:right="28"/>
              <w:jc w:val="center"/>
              <w:rPr>
                <w:rFonts w:hint="eastAsia"/>
              </w:rPr>
            </w:pPr>
          </w:p>
        </w:tc>
        <w:tc>
          <w:tcPr>
            <w:tcW w:w="1613" w:type="dxa"/>
            <w:noWrap w:val="0"/>
            <w:vAlign w:val="center"/>
          </w:tcPr>
          <w:p>
            <w:pPr>
              <w:adjustRightInd w:val="0"/>
              <w:snapToGrid w:val="0"/>
              <w:spacing w:line="600" w:lineRule="exact"/>
              <w:ind w:right="28"/>
              <w:jc w:val="center"/>
              <w:rPr>
                <w:rFonts w:hint="eastAsia"/>
              </w:rPr>
            </w:pPr>
          </w:p>
        </w:tc>
        <w:tc>
          <w:tcPr>
            <w:tcW w:w="2265" w:type="dxa"/>
            <w:noWrap w:val="0"/>
            <w:vAlign w:val="center"/>
          </w:tcPr>
          <w:p>
            <w:pPr>
              <w:adjustRightInd w:val="0"/>
              <w:snapToGrid w:val="0"/>
              <w:spacing w:line="600" w:lineRule="exact"/>
              <w:ind w:right="28"/>
              <w:jc w:val="left"/>
              <w:rPr>
                <w:rFonts w:hint="eastAsia"/>
              </w:rPr>
            </w:pPr>
          </w:p>
        </w:tc>
        <w:tc>
          <w:tcPr>
            <w:tcW w:w="1545" w:type="dxa"/>
            <w:noWrap w:val="0"/>
            <w:vAlign w:val="center"/>
          </w:tcPr>
          <w:p>
            <w:pPr>
              <w:adjustRightInd w:val="0"/>
              <w:snapToGrid w:val="0"/>
              <w:spacing w:line="600" w:lineRule="exact"/>
              <w:ind w:right="28"/>
              <w:jc w:val="left"/>
              <w:rPr>
                <w:rFonts w:hint="eastAsia"/>
              </w:rPr>
            </w:pPr>
          </w:p>
        </w:tc>
        <w:tc>
          <w:tcPr>
            <w:tcW w:w="1525" w:type="dxa"/>
            <w:noWrap w:val="0"/>
            <w:vAlign w:val="center"/>
          </w:tcPr>
          <w:p>
            <w:pPr>
              <w:adjustRightInd w:val="0"/>
              <w:snapToGrid w:val="0"/>
              <w:spacing w:line="600" w:lineRule="exact"/>
              <w:ind w:right="28"/>
              <w:jc w:val="left"/>
              <w:rPr>
                <w:rFonts w:hint="eastAsia"/>
              </w:rPr>
            </w:pPr>
          </w:p>
        </w:tc>
        <w:tc>
          <w:tcPr>
            <w:tcW w:w="1422" w:type="dxa"/>
            <w:noWrap w:val="0"/>
            <w:vAlign w:val="center"/>
          </w:tcPr>
          <w:p>
            <w:pPr>
              <w:adjustRightInd w:val="0"/>
              <w:snapToGrid w:val="0"/>
              <w:spacing w:line="600" w:lineRule="exact"/>
              <w:ind w:right="2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50" w:type="dxa"/>
            <w:noWrap w:val="0"/>
            <w:vAlign w:val="center"/>
          </w:tcPr>
          <w:p>
            <w:pPr>
              <w:adjustRightInd w:val="0"/>
              <w:snapToGrid w:val="0"/>
              <w:spacing w:line="600" w:lineRule="exact"/>
              <w:ind w:right="28"/>
              <w:jc w:val="center"/>
              <w:rPr>
                <w:rFonts w:hint="eastAsia"/>
              </w:rPr>
            </w:pPr>
          </w:p>
        </w:tc>
        <w:tc>
          <w:tcPr>
            <w:tcW w:w="1613" w:type="dxa"/>
            <w:noWrap w:val="0"/>
            <w:vAlign w:val="center"/>
          </w:tcPr>
          <w:p>
            <w:pPr>
              <w:adjustRightInd w:val="0"/>
              <w:snapToGrid w:val="0"/>
              <w:spacing w:line="600" w:lineRule="exact"/>
              <w:ind w:right="28"/>
              <w:jc w:val="center"/>
              <w:rPr>
                <w:rFonts w:hint="eastAsia"/>
              </w:rPr>
            </w:pPr>
          </w:p>
        </w:tc>
        <w:tc>
          <w:tcPr>
            <w:tcW w:w="2265" w:type="dxa"/>
            <w:noWrap w:val="0"/>
            <w:vAlign w:val="center"/>
          </w:tcPr>
          <w:p>
            <w:pPr>
              <w:adjustRightInd w:val="0"/>
              <w:snapToGrid w:val="0"/>
              <w:spacing w:line="600" w:lineRule="exact"/>
              <w:ind w:right="28"/>
              <w:jc w:val="left"/>
              <w:rPr>
                <w:rFonts w:hint="eastAsia"/>
              </w:rPr>
            </w:pPr>
          </w:p>
        </w:tc>
        <w:tc>
          <w:tcPr>
            <w:tcW w:w="1545" w:type="dxa"/>
            <w:noWrap w:val="0"/>
            <w:vAlign w:val="center"/>
          </w:tcPr>
          <w:p>
            <w:pPr>
              <w:adjustRightInd w:val="0"/>
              <w:snapToGrid w:val="0"/>
              <w:spacing w:line="600" w:lineRule="exact"/>
              <w:ind w:right="28"/>
              <w:jc w:val="left"/>
              <w:rPr>
                <w:rFonts w:hint="eastAsia"/>
              </w:rPr>
            </w:pPr>
          </w:p>
        </w:tc>
        <w:tc>
          <w:tcPr>
            <w:tcW w:w="1525" w:type="dxa"/>
            <w:noWrap w:val="0"/>
            <w:vAlign w:val="center"/>
          </w:tcPr>
          <w:p>
            <w:pPr>
              <w:adjustRightInd w:val="0"/>
              <w:snapToGrid w:val="0"/>
              <w:spacing w:line="600" w:lineRule="exact"/>
              <w:ind w:right="28"/>
              <w:jc w:val="left"/>
              <w:rPr>
                <w:rFonts w:hint="eastAsia"/>
              </w:rPr>
            </w:pPr>
          </w:p>
        </w:tc>
        <w:tc>
          <w:tcPr>
            <w:tcW w:w="1422" w:type="dxa"/>
            <w:noWrap w:val="0"/>
            <w:vAlign w:val="center"/>
          </w:tcPr>
          <w:p>
            <w:pPr>
              <w:adjustRightInd w:val="0"/>
              <w:snapToGrid w:val="0"/>
              <w:spacing w:line="600" w:lineRule="exact"/>
              <w:ind w:right="2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adjustRightInd w:val="0"/>
              <w:snapToGrid w:val="0"/>
              <w:spacing w:line="600" w:lineRule="exact"/>
              <w:ind w:right="28"/>
              <w:jc w:val="center"/>
              <w:rPr>
                <w:rFonts w:hint="eastAsia"/>
              </w:rPr>
            </w:pPr>
          </w:p>
        </w:tc>
        <w:tc>
          <w:tcPr>
            <w:tcW w:w="1613" w:type="dxa"/>
            <w:noWrap w:val="0"/>
            <w:vAlign w:val="center"/>
          </w:tcPr>
          <w:p>
            <w:pPr>
              <w:adjustRightInd w:val="0"/>
              <w:snapToGrid w:val="0"/>
              <w:spacing w:line="600" w:lineRule="exact"/>
              <w:ind w:right="28"/>
              <w:jc w:val="center"/>
              <w:rPr>
                <w:rFonts w:hint="eastAsia"/>
              </w:rPr>
            </w:pPr>
          </w:p>
        </w:tc>
        <w:tc>
          <w:tcPr>
            <w:tcW w:w="2265" w:type="dxa"/>
            <w:noWrap w:val="0"/>
            <w:vAlign w:val="center"/>
          </w:tcPr>
          <w:p>
            <w:pPr>
              <w:adjustRightInd w:val="0"/>
              <w:snapToGrid w:val="0"/>
              <w:spacing w:line="600" w:lineRule="exact"/>
              <w:ind w:right="28"/>
              <w:jc w:val="left"/>
              <w:rPr>
                <w:rFonts w:hint="eastAsia"/>
              </w:rPr>
            </w:pPr>
          </w:p>
        </w:tc>
        <w:tc>
          <w:tcPr>
            <w:tcW w:w="1545" w:type="dxa"/>
            <w:noWrap w:val="0"/>
            <w:vAlign w:val="center"/>
          </w:tcPr>
          <w:p>
            <w:pPr>
              <w:adjustRightInd w:val="0"/>
              <w:snapToGrid w:val="0"/>
              <w:spacing w:line="600" w:lineRule="exact"/>
              <w:ind w:right="28"/>
              <w:jc w:val="left"/>
              <w:rPr>
                <w:rFonts w:hint="eastAsia"/>
              </w:rPr>
            </w:pPr>
          </w:p>
        </w:tc>
        <w:tc>
          <w:tcPr>
            <w:tcW w:w="1525" w:type="dxa"/>
            <w:noWrap w:val="0"/>
            <w:vAlign w:val="center"/>
          </w:tcPr>
          <w:p>
            <w:pPr>
              <w:adjustRightInd w:val="0"/>
              <w:snapToGrid w:val="0"/>
              <w:spacing w:line="600" w:lineRule="exact"/>
              <w:ind w:right="28"/>
              <w:jc w:val="left"/>
              <w:rPr>
                <w:rFonts w:hint="eastAsia"/>
              </w:rPr>
            </w:pPr>
          </w:p>
        </w:tc>
        <w:tc>
          <w:tcPr>
            <w:tcW w:w="1422" w:type="dxa"/>
            <w:noWrap w:val="0"/>
            <w:vAlign w:val="center"/>
          </w:tcPr>
          <w:p>
            <w:pPr>
              <w:adjustRightInd w:val="0"/>
              <w:snapToGrid w:val="0"/>
              <w:spacing w:line="600" w:lineRule="exact"/>
              <w:ind w:right="2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adjustRightInd w:val="0"/>
              <w:snapToGrid w:val="0"/>
              <w:spacing w:line="600" w:lineRule="exact"/>
              <w:ind w:right="28"/>
              <w:jc w:val="center"/>
              <w:rPr>
                <w:rFonts w:hint="eastAsia"/>
              </w:rPr>
            </w:pPr>
          </w:p>
        </w:tc>
        <w:tc>
          <w:tcPr>
            <w:tcW w:w="1613" w:type="dxa"/>
            <w:noWrap w:val="0"/>
            <w:vAlign w:val="center"/>
          </w:tcPr>
          <w:p>
            <w:pPr>
              <w:adjustRightInd w:val="0"/>
              <w:snapToGrid w:val="0"/>
              <w:spacing w:line="600" w:lineRule="exact"/>
              <w:ind w:right="28"/>
              <w:jc w:val="center"/>
              <w:rPr>
                <w:rFonts w:hint="eastAsia"/>
              </w:rPr>
            </w:pPr>
          </w:p>
        </w:tc>
        <w:tc>
          <w:tcPr>
            <w:tcW w:w="2265" w:type="dxa"/>
            <w:noWrap w:val="0"/>
            <w:vAlign w:val="center"/>
          </w:tcPr>
          <w:p>
            <w:pPr>
              <w:adjustRightInd w:val="0"/>
              <w:snapToGrid w:val="0"/>
              <w:spacing w:line="600" w:lineRule="exact"/>
              <w:ind w:right="28"/>
              <w:jc w:val="left"/>
              <w:rPr>
                <w:rFonts w:hint="eastAsia"/>
              </w:rPr>
            </w:pPr>
          </w:p>
        </w:tc>
        <w:tc>
          <w:tcPr>
            <w:tcW w:w="1545" w:type="dxa"/>
            <w:noWrap w:val="0"/>
            <w:vAlign w:val="center"/>
          </w:tcPr>
          <w:p>
            <w:pPr>
              <w:adjustRightInd w:val="0"/>
              <w:snapToGrid w:val="0"/>
              <w:spacing w:line="600" w:lineRule="exact"/>
              <w:ind w:right="28"/>
              <w:jc w:val="left"/>
              <w:rPr>
                <w:rFonts w:hint="eastAsia"/>
              </w:rPr>
            </w:pPr>
          </w:p>
        </w:tc>
        <w:tc>
          <w:tcPr>
            <w:tcW w:w="1525" w:type="dxa"/>
            <w:noWrap w:val="0"/>
            <w:vAlign w:val="center"/>
          </w:tcPr>
          <w:p>
            <w:pPr>
              <w:adjustRightInd w:val="0"/>
              <w:snapToGrid w:val="0"/>
              <w:spacing w:line="600" w:lineRule="exact"/>
              <w:ind w:right="28"/>
              <w:jc w:val="left"/>
              <w:rPr>
                <w:rFonts w:hint="eastAsia"/>
              </w:rPr>
            </w:pPr>
          </w:p>
        </w:tc>
        <w:tc>
          <w:tcPr>
            <w:tcW w:w="1422" w:type="dxa"/>
            <w:noWrap w:val="0"/>
            <w:vAlign w:val="center"/>
          </w:tcPr>
          <w:p>
            <w:pPr>
              <w:adjustRightInd w:val="0"/>
              <w:snapToGrid w:val="0"/>
              <w:spacing w:line="600" w:lineRule="exact"/>
              <w:ind w:right="2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adjustRightInd w:val="0"/>
              <w:snapToGrid w:val="0"/>
              <w:spacing w:line="600" w:lineRule="exact"/>
              <w:ind w:right="28"/>
              <w:jc w:val="center"/>
              <w:rPr>
                <w:rFonts w:hint="eastAsia"/>
              </w:rPr>
            </w:pPr>
          </w:p>
        </w:tc>
        <w:tc>
          <w:tcPr>
            <w:tcW w:w="1613" w:type="dxa"/>
            <w:noWrap w:val="0"/>
            <w:vAlign w:val="center"/>
          </w:tcPr>
          <w:p>
            <w:pPr>
              <w:adjustRightInd w:val="0"/>
              <w:snapToGrid w:val="0"/>
              <w:spacing w:line="600" w:lineRule="exact"/>
              <w:ind w:right="28"/>
              <w:jc w:val="center"/>
              <w:rPr>
                <w:rFonts w:hint="eastAsia"/>
              </w:rPr>
            </w:pPr>
          </w:p>
        </w:tc>
        <w:tc>
          <w:tcPr>
            <w:tcW w:w="2265" w:type="dxa"/>
            <w:noWrap w:val="0"/>
            <w:vAlign w:val="center"/>
          </w:tcPr>
          <w:p>
            <w:pPr>
              <w:adjustRightInd w:val="0"/>
              <w:snapToGrid w:val="0"/>
              <w:spacing w:line="600" w:lineRule="exact"/>
              <w:ind w:right="28"/>
              <w:jc w:val="center"/>
              <w:rPr>
                <w:rFonts w:hint="eastAsia"/>
              </w:rPr>
            </w:pPr>
          </w:p>
        </w:tc>
        <w:tc>
          <w:tcPr>
            <w:tcW w:w="1545" w:type="dxa"/>
            <w:noWrap w:val="0"/>
            <w:vAlign w:val="center"/>
          </w:tcPr>
          <w:p>
            <w:pPr>
              <w:adjustRightInd w:val="0"/>
              <w:snapToGrid w:val="0"/>
              <w:spacing w:line="600" w:lineRule="exact"/>
              <w:ind w:right="28"/>
              <w:jc w:val="center"/>
              <w:rPr>
                <w:rFonts w:hint="eastAsia"/>
              </w:rPr>
            </w:pPr>
          </w:p>
        </w:tc>
        <w:tc>
          <w:tcPr>
            <w:tcW w:w="1525" w:type="dxa"/>
            <w:noWrap w:val="0"/>
            <w:vAlign w:val="center"/>
          </w:tcPr>
          <w:p>
            <w:pPr>
              <w:adjustRightInd w:val="0"/>
              <w:snapToGrid w:val="0"/>
              <w:spacing w:line="600" w:lineRule="exact"/>
              <w:ind w:right="28"/>
              <w:jc w:val="center"/>
              <w:rPr>
                <w:rFonts w:hint="eastAsia"/>
              </w:rPr>
            </w:pPr>
          </w:p>
        </w:tc>
        <w:tc>
          <w:tcPr>
            <w:tcW w:w="1422" w:type="dxa"/>
            <w:noWrap w:val="0"/>
            <w:vAlign w:val="center"/>
          </w:tcPr>
          <w:p>
            <w:pPr>
              <w:adjustRightInd w:val="0"/>
              <w:snapToGrid w:val="0"/>
              <w:spacing w:line="600" w:lineRule="exact"/>
              <w:ind w:right="2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50" w:type="dxa"/>
            <w:noWrap w:val="0"/>
            <w:vAlign w:val="center"/>
          </w:tcPr>
          <w:p>
            <w:pPr>
              <w:adjustRightInd w:val="0"/>
              <w:snapToGrid w:val="0"/>
              <w:spacing w:line="600" w:lineRule="exact"/>
              <w:ind w:right="28"/>
              <w:jc w:val="center"/>
              <w:rPr>
                <w:rFonts w:hint="eastAsia"/>
              </w:rPr>
            </w:pPr>
          </w:p>
        </w:tc>
        <w:tc>
          <w:tcPr>
            <w:tcW w:w="1613" w:type="dxa"/>
            <w:noWrap w:val="0"/>
            <w:vAlign w:val="center"/>
          </w:tcPr>
          <w:p>
            <w:pPr>
              <w:adjustRightInd w:val="0"/>
              <w:snapToGrid w:val="0"/>
              <w:spacing w:line="600" w:lineRule="exact"/>
              <w:ind w:right="28"/>
              <w:jc w:val="center"/>
              <w:rPr>
                <w:rFonts w:hint="eastAsia"/>
              </w:rPr>
            </w:pPr>
          </w:p>
        </w:tc>
        <w:tc>
          <w:tcPr>
            <w:tcW w:w="2265" w:type="dxa"/>
            <w:noWrap w:val="0"/>
            <w:vAlign w:val="center"/>
          </w:tcPr>
          <w:p>
            <w:pPr>
              <w:adjustRightInd w:val="0"/>
              <w:snapToGrid w:val="0"/>
              <w:spacing w:line="600" w:lineRule="exact"/>
              <w:ind w:right="28"/>
              <w:jc w:val="center"/>
              <w:rPr>
                <w:rFonts w:hint="eastAsia"/>
              </w:rPr>
            </w:pPr>
          </w:p>
        </w:tc>
        <w:tc>
          <w:tcPr>
            <w:tcW w:w="1545" w:type="dxa"/>
            <w:noWrap w:val="0"/>
            <w:vAlign w:val="center"/>
          </w:tcPr>
          <w:p>
            <w:pPr>
              <w:adjustRightInd w:val="0"/>
              <w:snapToGrid w:val="0"/>
              <w:spacing w:line="600" w:lineRule="exact"/>
              <w:ind w:right="28"/>
              <w:jc w:val="center"/>
              <w:rPr>
                <w:rFonts w:hint="eastAsia"/>
              </w:rPr>
            </w:pPr>
          </w:p>
        </w:tc>
        <w:tc>
          <w:tcPr>
            <w:tcW w:w="1525" w:type="dxa"/>
            <w:noWrap w:val="0"/>
            <w:vAlign w:val="center"/>
          </w:tcPr>
          <w:p>
            <w:pPr>
              <w:adjustRightInd w:val="0"/>
              <w:snapToGrid w:val="0"/>
              <w:spacing w:line="600" w:lineRule="exact"/>
              <w:ind w:right="28"/>
              <w:jc w:val="center"/>
              <w:rPr>
                <w:rFonts w:hint="eastAsia"/>
              </w:rPr>
            </w:pPr>
          </w:p>
        </w:tc>
        <w:tc>
          <w:tcPr>
            <w:tcW w:w="1422" w:type="dxa"/>
            <w:noWrap w:val="0"/>
            <w:vAlign w:val="center"/>
          </w:tcPr>
          <w:p>
            <w:pPr>
              <w:adjustRightInd w:val="0"/>
              <w:snapToGrid w:val="0"/>
              <w:spacing w:line="600" w:lineRule="exact"/>
              <w:ind w:right="28"/>
              <w:jc w:val="center"/>
              <w:rPr>
                <w:rFonts w:hint="eastAsia"/>
              </w:rPr>
            </w:pPr>
          </w:p>
        </w:tc>
      </w:tr>
    </w:tbl>
    <w:p>
      <w:pPr>
        <w:rPr>
          <w:rFonts w:hint="eastAsia" w:ascii="方正仿宋简体" w:eastAsia="方正仿宋简体"/>
          <w:color w:val="000000"/>
        </w:rPr>
      </w:pPr>
    </w:p>
    <w:p/>
    <w:sectPr>
      <w:headerReference r:id="rId3" w:type="default"/>
      <w:footerReference r:id="rId4" w:type="default"/>
      <w:pgSz w:w="11906" w:h="16838"/>
      <w:pgMar w:top="1460" w:right="1485" w:bottom="878" w:left="1599" w:header="851" w:footer="992" w:gutter="0"/>
      <w:cols w:space="72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87BEE"/>
    <w:rsid w:val="10887BEE"/>
    <w:rsid w:val="37A72524"/>
    <w:rsid w:val="3BC033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Emphasis"/>
    <w:basedOn w:val="6"/>
    <w:qFormat/>
    <w:uiPriority w:val="2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2020-04-15T14:37:00Z</dcterms:created>
  <dc:creator>小慕在在</dc:creator>
  <cp:lastModifiedBy>cctc</cp:lastModifiedBy>
  <dcterms:modified xsi:type="dcterms:W3CDTF">2020-04-16T02:27:52Z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