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5" w:lineRule="atLeast"/>
        <w:jc w:val="left"/>
        <w:rPr>
          <w:rFonts w:hint="eastAsia" w:ascii="宋体" w:hAnsi="宋体" w:cs="宋体"/>
          <w:kern w:val="0"/>
          <w:sz w:val="24"/>
          <w:szCs w:val="32"/>
        </w:rPr>
      </w:pPr>
      <w:r>
        <w:rPr>
          <w:rFonts w:hint="eastAsia" w:ascii="宋体" w:hAnsi="宋体" w:cs="宋体"/>
          <w:kern w:val="0"/>
          <w:sz w:val="24"/>
          <w:szCs w:val="32"/>
        </w:rPr>
        <w:t>附件1：</w:t>
      </w:r>
    </w:p>
    <w:p>
      <w:pPr>
        <w:widowControl/>
        <w:shd w:val="clear" w:color="auto" w:fill="FFFFFF"/>
        <w:spacing w:line="375" w:lineRule="atLeast"/>
        <w:jc w:val="center"/>
        <w:rPr>
          <w:rFonts w:ascii="宋体" w:hAnsi="宋体" w:cs="宋体"/>
          <w:b/>
          <w:bCs/>
          <w:kern w:val="0"/>
          <w:sz w:val="36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44"/>
        </w:rPr>
        <w:t>2021年国家奖学金、励志奖学金名额分配表</w:t>
      </w:r>
    </w:p>
    <w:bookmarkEnd w:id="0"/>
    <w:tbl>
      <w:tblPr>
        <w:tblStyle w:val="2"/>
        <w:tblpPr w:leftFromText="180" w:rightFromText="180" w:vertAnchor="text" w:horzAnchor="page" w:tblpXSpec="center" w:tblpY="557"/>
        <w:tblOverlap w:val="never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1950"/>
        <w:gridCol w:w="2085"/>
        <w:gridCol w:w="2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人数（19、20级）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国家奖学金（名）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励志奖学金（名）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合  计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6672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智能建造学院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1317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建设管理学院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1796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经济管理与公共事务学院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405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智慧城市设计学院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1290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交通与市政工程学院（轨道与机电工程学院）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1224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智能制造与信息工程学院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640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31</w:t>
            </w:r>
          </w:p>
        </w:tc>
      </w:tr>
    </w:tbl>
    <w:p>
      <w:pPr>
        <w:widowControl/>
        <w:shd w:val="clear" w:color="auto" w:fill="FFFFFF"/>
        <w:rPr>
          <w:rFonts w:hint="eastAsia" w:ascii="宋体" w:hAnsi="宋体" w:cs="宋体"/>
          <w:b/>
          <w:bCs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74BC5"/>
    <w:rsid w:val="5DD7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2021-09-26T06:21:00Z</dcterms:created>
  <dc:creator>Administrator</dc:creator>
  <cp:lastModifiedBy>Administrator</cp:lastModifiedBy>
  <dcterms:modified xsi:type="dcterms:W3CDTF">2021-09-26T06:21:46Z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